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instrText xml:space="preserve"> HYPERLINK "http://jy.cdu.edu.cn/Upload/file/201710/3112054655.docx" \t "http://jy.cdu.edu.cn/News/2011/1/_blank" </w:instrTex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成都大学优秀毕业生评选认定办法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fldChar w:fldCharType="end"/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一、评选比例</w:t>
      </w:r>
    </w:p>
    <w:p>
      <w:pPr>
        <w:widowControl/>
        <w:spacing w:line="570" w:lineRule="exact"/>
        <w:ind w:firstLine="640" w:firstLineChars="200"/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优秀毕业生”的评选比例：校级“优秀毕业生”控制在毕业生总人数15%以内，省级“优秀毕业生”在校“优秀毕业生”中产生。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二、评选条件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（一）始终坚持学习践行习近平新时代中国特色社会主义思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想，自觉践行社会主义核心价值观，理想信念坚定，在政治上、思想上和行动上与党中央保持一致。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具有正确的世界观、价值观和人生观，志存高远、脚踏实地，不畏艰难险阻，勇担时代使命。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>具有优良的道德品行，遵纪守法，诚实守信，表现优秀，曾获校级及以上表彰或表扬</w:t>
      </w: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两次以上（含两次）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。在校期间未受过处分，无不良记录。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学习勤奋，学业优秀，在校期间综合测评成绩在本年级本专业排名前 15%，未出现不合格课程情况。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（五）</w:t>
      </w: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积极参加体育锻炼、志愿服务和社会实践活动，身心健康，积极向上，崇尚美德，乐于奉献。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对响应国家号召献身国防事业，自愿到艰苦边远地区、城乡 </w:t>
      </w:r>
    </w:p>
    <w:p>
      <w:pPr>
        <w:widowControl/>
        <w:spacing w:line="570" w:lineRule="exact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基层和重点领域等就业的毕业生，以及获得国家级奖励的毕业 </w:t>
      </w:r>
    </w:p>
    <w:p>
      <w:pPr>
        <w:widowControl/>
        <w:spacing w:line="570" w:lineRule="exact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生，可优先推荐评选；对在思想品行方面有突出表现或做出突出 </w:t>
      </w:r>
    </w:p>
    <w:p>
      <w:pPr>
        <w:widowControl/>
        <w:spacing w:line="570" w:lineRule="exact"/>
        <w:rPr>
          <w:rFonts w:hint="eastAsia" w:ascii="Times New Roman" w:hAnsi="Calibri" w:eastAsia="方正仿宋简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  <w:t xml:space="preserve">贡献，获得公认和好评的毕业生，可直接推荐评选。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三、评选认定程序 </w:t>
      </w:r>
    </w:p>
    <w:p>
      <w:pPr>
        <w:widowControl/>
        <w:spacing w:line="570" w:lineRule="exact"/>
        <w:ind w:firstLine="640" w:firstLineChars="200"/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“优秀毕业生”分省、校两级，省级优秀毕业生在校级优秀毕业生中择优推荐。校级优秀毕业生由各学院评审小组推荐，经学生处审查，报学校评优评奖领导小组审定。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四、附则</w:t>
      </w:r>
    </w:p>
    <w:p>
      <w:pPr>
        <w:spacing w:line="570" w:lineRule="exact"/>
        <w:ind w:firstLine="640" w:firstLineChars="200"/>
        <w:jc w:val="both"/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（一）本办法由学生处负责解释。</w:t>
      </w:r>
    </w:p>
    <w:p>
      <w:pPr>
        <w:spacing w:line="570" w:lineRule="exact"/>
        <w:ind w:firstLine="640" w:firstLineChars="200"/>
        <w:jc w:val="both"/>
        <w:rPr>
          <w:rFonts w:hint="default" w:ascii="Times New Roman" w:hAnsi="Calibri" w:eastAsia="方正仿宋简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Calibri" w:eastAsia="方正仿宋简体" w:cs="Times New Roman"/>
          <w:kern w:val="0"/>
          <w:sz w:val="32"/>
          <w:szCs w:val="32"/>
          <w:lang w:val="en-US" w:eastAsia="zh-CN"/>
        </w:rPr>
        <w:t>（二）本办法自公布之日起执行，原有相关规定自动废除。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CDJYB-112</dc:creator>
  <cp:lastModifiedBy>心心</cp:lastModifiedBy>
  <dcterms:modified xsi:type="dcterms:W3CDTF">2021-01-04T08:49:44Z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333952349_btnclosed</vt:lpwstr>
  </property>
</Properties>
</file>